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38CF6" w14:textId="2D01B497" w:rsidR="00E423DB" w:rsidRPr="00CE30FE" w:rsidRDefault="00E423DB" w:rsidP="00CE30FE">
      <w:pPr>
        <w:pStyle w:val="Heading1"/>
      </w:pPr>
      <w:bookmarkStart w:id="0" w:name="_Hlk105511024"/>
      <w:bookmarkStart w:id="1" w:name="_GoBack"/>
      <w:bookmarkEnd w:id="1"/>
      <w:r w:rsidRPr="00CE30FE">
        <w:t>Accessibility for New Zealanders Bill: Initial Briefing for the Social Services and Community Committee</w:t>
      </w:r>
    </w:p>
    <w:p w14:paraId="76626B42" w14:textId="7D0B6B02" w:rsidR="000369F9" w:rsidRDefault="000369F9" w:rsidP="00CE30FE">
      <w:r>
        <w:rPr>
          <w:noProof/>
          <w:lang w:eastAsia="en-NZ"/>
        </w:rPr>
        <w:drawing>
          <wp:inline distT="0" distB="0" distL="0" distR="0" wp14:anchorId="058CC383" wp14:editId="6A05A0E6">
            <wp:extent cx="2381250" cy="1095375"/>
            <wp:effectExtent l="0" t="0" r="0" b="9525"/>
            <wp:docPr id="1" name="Picture 1" descr="The logo for the Ministry of Social Development — Te Manatū Whakahiato Ora, including the coat of arms of New Zealand in blu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logo for the Ministry of Social Development — Te Manatū Whakahiato Ora, including the coat of arms of New Zealand in blue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33" cy="110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2E0BE" w14:textId="38D2E2BA" w:rsidR="00E423DB" w:rsidRPr="00CE30FE" w:rsidRDefault="00E423DB" w:rsidP="00CE30FE">
      <w:r w:rsidRPr="00CE30FE">
        <w:t xml:space="preserve">This </w:t>
      </w:r>
      <w:bookmarkStart w:id="2" w:name="_Hlk105513944"/>
      <w:r w:rsidRPr="00CE30FE">
        <w:t xml:space="preserve">is a </w:t>
      </w:r>
      <w:r w:rsidR="00FB3AE0" w:rsidRPr="00CE30FE">
        <w:t xml:space="preserve">summary of a </w:t>
      </w:r>
      <w:r w:rsidRPr="00CE30FE">
        <w:t xml:space="preserve">report from the Ministry of Social Development that </w:t>
      </w:r>
      <w:bookmarkEnd w:id="0"/>
      <w:bookmarkEnd w:id="2"/>
      <w:r w:rsidRPr="00CE30FE">
        <w:t>supports the Social Services and Community Committee in its consideration of the Accessibility for New Zealanders Bill (the Bill). You can see the full Bill here</w:t>
      </w:r>
      <w:r w:rsidR="00AE6521" w:rsidRPr="00CE30FE">
        <w:t xml:space="preserve"> </w:t>
      </w:r>
      <w:hyperlink r:id="rId9" w:history="1">
        <w:r w:rsidR="00AE6521" w:rsidRPr="00CE30FE">
          <w:rPr>
            <w:rStyle w:val="Hyperlink"/>
            <w:color w:val="auto"/>
            <w:u w:val="none"/>
          </w:rPr>
          <w:t>https://tinyurl.com/4mnykvab</w:t>
        </w:r>
      </w:hyperlink>
      <w:r w:rsidR="00AE6521" w:rsidRPr="00CE30FE">
        <w:t xml:space="preserve"> </w:t>
      </w:r>
      <w:r w:rsidRPr="00CE30FE">
        <w:t xml:space="preserve">and alternate formats here </w:t>
      </w:r>
      <w:hyperlink r:id="rId10" w:history="1">
        <w:r w:rsidR="00AE6521" w:rsidRPr="00CE30FE">
          <w:rPr>
            <w:rStyle w:val="Hyperlink"/>
            <w:color w:val="auto"/>
            <w:u w:val="none"/>
          </w:rPr>
          <w:t>https://tinyurl.com/2zn54224</w:t>
        </w:r>
      </w:hyperlink>
      <w:r w:rsidR="00AE6521" w:rsidRPr="00CE30FE">
        <w:rPr>
          <w:rStyle w:val="Hyperlink"/>
          <w:color w:val="auto"/>
          <w:u w:val="none"/>
        </w:rPr>
        <w:t xml:space="preserve">. </w:t>
      </w:r>
    </w:p>
    <w:p w14:paraId="489486E1" w14:textId="7056BF1C" w:rsidR="00E423DB" w:rsidRPr="00CE30FE" w:rsidRDefault="00E423DB" w:rsidP="00CE30FE">
      <w:pPr>
        <w:pStyle w:val="Heading2"/>
        <w:spacing w:line="276" w:lineRule="auto"/>
      </w:pPr>
      <w:r w:rsidRPr="00CE30FE">
        <w:t>About the Bill</w:t>
      </w:r>
    </w:p>
    <w:p w14:paraId="4AEE8198" w14:textId="64B04AFC" w:rsidR="00E423DB" w:rsidRPr="00CE30FE" w:rsidRDefault="00E423DB" w:rsidP="001827BB">
      <w:pPr>
        <w:pStyle w:val="Heading3"/>
        <w:spacing w:before="240"/>
      </w:pPr>
      <w:r w:rsidRPr="00CE30FE">
        <w:t>Purpose</w:t>
      </w:r>
    </w:p>
    <w:p w14:paraId="6F5DC0A3" w14:textId="77777777" w:rsidR="00FB3AE0" w:rsidRPr="0026177A" w:rsidRDefault="00FB3AE0" w:rsidP="00CE30FE">
      <w:pPr>
        <w:rPr>
          <w:rFonts w:eastAsia="Times New Roman"/>
        </w:rPr>
      </w:pPr>
      <w:r>
        <w:t xml:space="preserve">The Bill will create an </w:t>
      </w:r>
      <w:r w:rsidRPr="004F1492">
        <w:t>accessibility framework that takes a progressive approach to identifying, preventing, and removing barriers to participation for disabled people, tāngata whaikaha and whānau whaikaha Māori and others with accessibility needs</w:t>
      </w:r>
      <w:r>
        <w:t xml:space="preserve"> in New Zealand.</w:t>
      </w:r>
      <w:r w:rsidRPr="00890586">
        <w:rPr>
          <w:rFonts w:eastAsia="Calibri"/>
        </w:rPr>
        <w:t xml:space="preserve"> </w:t>
      </w:r>
    </w:p>
    <w:p w14:paraId="7AB41D74" w14:textId="77777777" w:rsidR="00FB3AE0" w:rsidRDefault="00FB3AE0" w:rsidP="00CE30FE">
      <w:r w:rsidRPr="005A4094">
        <w:t>The purpose of the legislation is to accelerate progress towards a fully accessible</w:t>
      </w:r>
      <w:r>
        <w:t xml:space="preserve"> </w:t>
      </w:r>
      <w:r w:rsidRPr="005A4094">
        <w:t>New Zealand where disabled people, tāngata whaikaha and whānau whaikaha</w:t>
      </w:r>
      <w:r>
        <w:t xml:space="preserve"> </w:t>
      </w:r>
      <w:r w:rsidRPr="005A4094">
        <w:t xml:space="preserve">Māori, and </w:t>
      </w:r>
      <w:r w:rsidRPr="005A4094">
        <w:lastRenderedPageBreak/>
        <w:t>others with accessibility needs have an equal opportunity to achieve</w:t>
      </w:r>
      <w:r>
        <w:t xml:space="preserve"> </w:t>
      </w:r>
      <w:r w:rsidRPr="005A4094">
        <w:t>their goals and aspirations.</w:t>
      </w:r>
    </w:p>
    <w:p w14:paraId="6ADAEF3D" w14:textId="71E3104B" w:rsidR="00FB3AE0" w:rsidRPr="0026177A" w:rsidRDefault="00FB3AE0" w:rsidP="00CE30FE">
      <w:pPr>
        <w:spacing w:after="100"/>
        <w:rPr>
          <w:rFonts w:eastAsia="Times New Roman"/>
        </w:rPr>
      </w:pPr>
      <w:r>
        <w:t>To do this, the Bill</w:t>
      </w:r>
      <w:r w:rsidRPr="0026177A">
        <w:t xml:space="preserve"> establishes the Accessibility Committee to</w:t>
      </w:r>
      <w:r w:rsidR="00CE30FE">
        <w:t>:</w:t>
      </w:r>
    </w:p>
    <w:p w14:paraId="6C18D9FD" w14:textId="15BE72A6" w:rsidR="00FB3AE0" w:rsidRPr="00C82AE8" w:rsidRDefault="00FB3AE0" w:rsidP="00CE30FE">
      <w:pPr>
        <w:spacing w:after="200"/>
        <w:ind w:left="720" w:hanging="720"/>
      </w:pPr>
      <w:r w:rsidRPr="00CE30FE">
        <w:rPr>
          <w:b/>
        </w:rPr>
        <w:t>(a)</w:t>
      </w:r>
      <w:r w:rsidR="00CE30FE">
        <w:rPr>
          <w:b/>
        </w:rPr>
        <w:tab/>
      </w:r>
      <w:r w:rsidRPr="00C82AE8">
        <w:t>identify accessibility barriers in New Zealand society; and</w:t>
      </w:r>
    </w:p>
    <w:p w14:paraId="106FAF3B" w14:textId="49FDC92B" w:rsidR="00FB3AE0" w:rsidRPr="00C82AE8" w:rsidRDefault="00FB3AE0" w:rsidP="00CE30FE">
      <w:pPr>
        <w:spacing w:after="200"/>
        <w:ind w:left="720" w:hanging="720"/>
      </w:pPr>
      <w:r w:rsidRPr="00CE30FE">
        <w:rPr>
          <w:b/>
        </w:rPr>
        <w:t>(b)</w:t>
      </w:r>
      <w:r w:rsidR="00CE30FE">
        <w:rPr>
          <w:b/>
        </w:rPr>
        <w:tab/>
      </w:r>
      <w:r w:rsidRPr="00C82AE8">
        <w:t>work towards preventing and removing accessibility barriers in New Zealand society; and</w:t>
      </w:r>
    </w:p>
    <w:p w14:paraId="27A228B3" w14:textId="3ABC929C" w:rsidR="00FB3AE0" w:rsidRPr="00C82AE8" w:rsidRDefault="00FB3AE0" w:rsidP="00CE30FE">
      <w:pPr>
        <w:ind w:left="720" w:hanging="720"/>
      </w:pPr>
      <w:r w:rsidRPr="00CE30FE">
        <w:rPr>
          <w:b/>
        </w:rPr>
        <w:t>(c)</w:t>
      </w:r>
      <w:r w:rsidR="00CE30FE">
        <w:rPr>
          <w:b/>
        </w:rPr>
        <w:tab/>
      </w:r>
      <w:r w:rsidRPr="00C82AE8">
        <w:t>work towards growing accessibility practices across New Zealand.</w:t>
      </w:r>
    </w:p>
    <w:p w14:paraId="5A3988AD" w14:textId="7FE6E016" w:rsidR="00FB3AE0" w:rsidRPr="00FB3AE0" w:rsidRDefault="00FB3AE0" w:rsidP="00CE30FE">
      <w:r>
        <w:t xml:space="preserve">And it </w:t>
      </w:r>
      <w:r w:rsidRPr="00FB3AE0">
        <w:t>strengthens government accountability by creating strong, clear responsibilities for the Minister for Disability Issues, Chief Executive of Whaikaha – Ministry of Disabled People (Whaikaha), and the Accessibility Committee</w:t>
      </w:r>
    </w:p>
    <w:p w14:paraId="62ADAE1B" w14:textId="4061E9C1" w:rsidR="00FB3AE0" w:rsidRDefault="00FB3AE0" w:rsidP="001827BB">
      <w:pPr>
        <w:pStyle w:val="Heading3"/>
      </w:pPr>
      <w:r>
        <w:t>Background</w:t>
      </w:r>
    </w:p>
    <w:p w14:paraId="07515527" w14:textId="01539CEE" w:rsidR="00FB3AE0" w:rsidRDefault="00B86995" w:rsidP="00CE30FE">
      <w:r>
        <w:t>The Bill is a result of work over several years by the government in response to decades-long advocacy for accessibility improvements by the disability community.</w:t>
      </w:r>
    </w:p>
    <w:p w14:paraId="7FB813E6" w14:textId="717B70F0" w:rsidR="00B86995" w:rsidRDefault="0096480F" w:rsidP="00CE30FE">
      <w:r w:rsidRPr="0096480F">
        <w:t>The Bill does not itself create regulations (for example, it doesn’t include rules for how wide doorways should be). Instead, it creates a clear way of identifying, removing and preventing accessibility barriers over time.</w:t>
      </w:r>
      <w:r>
        <w:t xml:space="preserve"> The Bill is</w:t>
      </w:r>
      <w:r w:rsidR="00B86995" w:rsidRPr="00B86995">
        <w:t xml:space="preserve"> expected to lead to new or amended regulations in some areas depending on the Committee’s recommendations. These will be worked through with relevant </w:t>
      </w:r>
      <w:r>
        <w:t>parties</w:t>
      </w:r>
      <w:r w:rsidR="00B86995" w:rsidRPr="00B86995">
        <w:t xml:space="preserve"> at the time those accessibility barriers or practices are considered.</w:t>
      </w:r>
    </w:p>
    <w:p w14:paraId="6979360E" w14:textId="748182F8" w:rsidR="00FB3AE0" w:rsidRDefault="00FB3AE0" w:rsidP="00CE30FE">
      <w:pPr>
        <w:pStyle w:val="Heading2"/>
      </w:pPr>
      <w:r w:rsidRPr="00FB3AE0">
        <w:lastRenderedPageBreak/>
        <w:t>Summary of the Bill</w:t>
      </w:r>
    </w:p>
    <w:p w14:paraId="278A552A" w14:textId="77777777" w:rsidR="00CE30FE" w:rsidRPr="00CE30FE" w:rsidRDefault="00CE30FE" w:rsidP="00CE30FE">
      <w:pPr>
        <w:rPr>
          <w:sz w:val="4"/>
        </w:rPr>
      </w:pPr>
    </w:p>
    <w:p w14:paraId="0348278C" w14:textId="0221D85D" w:rsidR="00FB3AE0" w:rsidRPr="00FB3AE0" w:rsidRDefault="00FB3AE0" w:rsidP="00CE30FE">
      <w:r>
        <w:t>The Bill is in two parts.</w:t>
      </w:r>
    </w:p>
    <w:p w14:paraId="6890381C" w14:textId="6DAFC75C" w:rsidR="00E423DB" w:rsidRPr="001827BB" w:rsidRDefault="00FB3AE0" w:rsidP="001827BB">
      <w:pPr>
        <w:pStyle w:val="Heading3"/>
      </w:pPr>
      <w:r w:rsidRPr="001827BB">
        <w:t>Part 1: Preliminary Provisions</w:t>
      </w:r>
    </w:p>
    <w:p w14:paraId="17CD97DA" w14:textId="717C548A" w:rsidR="00FB3AE0" w:rsidRDefault="00FB3AE0" w:rsidP="00CE30FE">
      <w:pPr>
        <w:spacing w:after="100"/>
      </w:pPr>
      <w:r w:rsidRPr="00FB3AE0">
        <w:t>Part 1 sets out preliminary provisions. These include</w:t>
      </w:r>
      <w:r>
        <w:t>:</w:t>
      </w:r>
    </w:p>
    <w:p w14:paraId="6EC5652A" w14:textId="23525118" w:rsidR="00FB3AE0" w:rsidRPr="00CE30FE" w:rsidRDefault="00FB3AE0" w:rsidP="00CE30FE">
      <w:pPr>
        <w:pStyle w:val="ListParagraph"/>
      </w:pPr>
      <w:r w:rsidRPr="00CE30FE">
        <w:t>the purpose of the Act (as summarised above)</w:t>
      </w:r>
      <w:r w:rsidR="00CE30FE">
        <w:t>;</w:t>
      </w:r>
    </w:p>
    <w:p w14:paraId="5BEA428B" w14:textId="27FDDAD7" w:rsidR="00FB3AE0" w:rsidRPr="00C82AE8" w:rsidRDefault="00FB3AE0" w:rsidP="00CE30FE">
      <w:pPr>
        <w:pStyle w:val="ListParagraph"/>
      </w:pPr>
      <w:r w:rsidRPr="00C82AE8">
        <w:t xml:space="preserve">principles to guide a person who performs a function or duty or exercises a power under the Act, for example these people must consider the </w:t>
      </w:r>
      <w:r w:rsidR="00C82AE8" w:rsidRPr="00C82AE8">
        <w:t>rights of disabled people under the United Nations Convention on the Rights of Persons with Disabilities</w:t>
      </w:r>
      <w:r w:rsidR="00CE30FE">
        <w:t>;</w:t>
      </w:r>
    </w:p>
    <w:p w14:paraId="0B7FFB87" w14:textId="1FDCF492" w:rsidR="00FB3AE0" w:rsidRPr="00C82AE8" w:rsidRDefault="00FB3AE0" w:rsidP="00CE30FE">
      <w:pPr>
        <w:pStyle w:val="ListParagraph"/>
      </w:pPr>
      <w:r w:rsidRPr="00C82AE8">
        <w:t xml:space="preserve">and obligations </w:t>
      </w:r>
      <w:r w:rsidR="00C82AE8" w:rsidRPr="00C82AE8">
        <w:t xml:space="preserve">for these people </w:t>
      </w:r>
      <w:r w:rsidRPr="00C82AE8">
        <w:t xml:space="preserve">to act in a </w:t>
      </w:r>
      <w:r w:rsidR="00C82AE8" w:rsidRPr="00C82AE8">
        <w:t>way</w:t>
      </w:r>
      <w:r w:rsidRPr="00C82AE8">
        <w:t xml:space="preserve"> that gives effect to Te Tiriti o Waitangi/the Treaty of Waitangi.</w:t>
      </w:r>
    </w:p>
    <w:p w14:paraId="51555E93" w14:textId="4ECDAECC" w:rsidR="00FB3AE0" w:rsidRDefault="00FB3AE0" w:rsidP="001827BB">
      <w:pPr>
        <w:pStyle w:val="Heading3"/>
      </w:pPr>
      <w:r>
        <w:t>Part 2: Accessibility Committee</w:t>
      </w:r>
    </w:p>
    <w:p w14:paraId="675AED75" w14:textId="089764F0" w:rsidR="00E423DB" w:rsidRDefault="00C82AE8" w:rsidP="00CE30FE">
      <w:pPr>
        <w:spacing w:after="100"/>
      </w:pPr>
      <w:r>
        <w:t>In Part 2,</w:t>
      </w:r>
      <w:r w:rsidR="00FB3AE0">
        <w:t xml:space="preserve"> t</w:t>
      </w:r>
      <w:r w:rsidR="00E423DB">
        <w:t>he Bill</w:t>
      </w:r>
      <w:r w:rsidR="00E423DB" w:rsidRPr="0026177A">
        <w:t xml:space="preserve"> </w:t>
      </w:r>
      <w:r>
        <w:t>describes the functions, duties, and powers of the Accessibility Committee. These include:</w:t>
      </w:r>
    </w:p>
    <w:p w14:paraId="43F3DFE4" w14:textId="2CA00511" w:rsidR="00C82AE8" w:rsidRPr="00CE30FE" w:rsidRDefault="00C82AE8" w:rsidP="00CE30FE">
      <w:pPr>
        <w:pStyle w:val="ListParagraph"/>
      </w:pPr>
      <w:r>
        <w:t>The</w:t>
      </w:r>
      <w:r w:rsidR="00B86995">
        <w:t xml:space="preserve"> </w:t>
      </w:r>
      <w:r w:rsidR="00B86995" w:rsidRPr="00CE30FE">
        <w:t>Accessibility</w:t>
      </w:r>
      <w:r w:rsidRPr="00CE30FE">
        <w:t xml:space="preserve"> Committee has a function to provide advice to the Minister on matters relating to accessibility barriers and accessibility practices</w:t>
      </w:r>
      <w:r w:rsidR="00B86995" w:rsidRPr="00CE30FE">
        <w:t>.</w:t>
      </w:r>
    </w:p>
    <w:p w14:paraId="133D40CA" w14:textId="11EF2735" w:rsidR="00C82AE8" w:rsidRPr="00CE30FE" w:rsidRDefault="00B86995" w:rsidP="00CE30FE">
      <w:pPr>
        <w:pStyle w:val="ListParagraph"/>
      </w:pPr>
      <w:r w:rsidRPr="00CE30FE">
        <w:t>The Accessibility Committee has a duty to ensure its work is informed by the lived experiences of disabled people, tāngata whaikaha and their families and whānau, and others with accessibility needs.</w:t>
      </w:r>
    </w:p>
    <w:p w14:paraId="7028ED5A" w14:textId="630F76C5" w:rsidR="00DB414E" w:rsidRDefault="00B86995" w:rsidP="00742487">
      <w:pPr>
        <w:pStyle w:val="ListParagraph"/>
        <w:spacing w:after="160" w:line="259" w:lineRule="auto"/>
      </w:pPr>
      <w:r>
        <w:t xml:space="preserve">The Accessibility Committee has a power to request information from some government organisations to help it do </w:t>
      </w:r>
      <w:r w:rsidRPr="00CE30FE">
        <w:t>its</w:t>
      </w:r>
      <w:r>
        <w:t xml:space="preserve"> work.</w:t>
      </w:r>
      <w:r w:rsidR="00742487">
        <w:t xml:space="preserve">  </w:t>
      </w:r>
    </w:p>
    <w:p w14:paraId="3CA89368" w14:textId="6EFC5E7F" w:rsidR="00C82AE8" w:rsidRDefault="00B86995" w:rsidP="00CE30FE">
      <w:r>
        <w:lastRenderedPageBreak/>
        <w:t>The Bill also describes how the Accessibility Committee’s members will be chosen, for example the majority of the members must be disabled.</w:t>
      </w:r>
    </w:p>
    <w:p w14:paraId="4BC1D7BC" w14:textId="77777777" w:rsidR="00B86995" w:rsidRDefault="00B86995" w:rsidP="00CE30FE">
      <w:pPr>
        <w:spacing w:after="100"/>
      </w:pPr>
      <w:r w:rsidRPr="00B86995">
        <w:t>The Bill sets out the responsibilities of</w:t>
      </w:r>
      <w:r>
        <w:t>:</w:t>
      </w:r>
    </w:p>
    <w:p w14:paraId="25041DFE" w14:textId="77777777" w:rsidR="00B86995" w:rsidRPr="00CE30FE" w:rsidRDefault="00B86995" w:rsidP="00CE30FE">
      <w:pPr>
        <w:pStyle w:val="ListParagraph"/>
      </w:pPr>
      <w:r w:rsidRPr="00CE30FE">
        <w:t>the Minister for Disability Issues to provide oversight and support to the Accessibility Committee;</w:t>
      </w:r>
    </w:p>
    <w:p w14:paraId="62C22B44" w14:textId="705391DE" w:rsidR="00B86995" w:rsidRDefault="00B86995" w:rsidP="00CE30FE">
      <w:pPr>
        <w:pStyle w:val="ListParagraph"/>
      </w:pPr>
      <w:r w:rsidRPr="00CE30FE">
        <w:t>and the Chief Executive of Whaikaha to support the Accessibility Committee with administrative support and publishing</w:t>
      </w:r>
      <w:r>
        <w:t xml:space="preserve"> the government documents required.</w:t>
      </w:r>
    </w:p>
    <w:p w14:paraId="510FE6B0" w14:textId="77777777" w:rsidR="00CE30FE" w:rsidRPr="0026177A" w:rsidRDefault="00CE30FE" w:rsidP="00CE30FE">
      <w:pPr>
        <w:pStyle w:val="ListParagraph"/>
        <w:numPr>
          <w:ilvl w:val="0"/>
          <w:numId w:val="0"/>
        </w:numPr>
      </w:pPr>
    </w:p>
    <w:p w14:paraId="170B01C3" w14:textId="5C1A23CD" w:rsidR="00E423DB" w:rsidRDefault="00C82AE8" w:rsidP="00CE30FE">
      <w:r>
        <w:t>This part also states that the</w:t>
      </w:r>
      <w:r w:rsidR="00E423DB" w:rsidRPr="00A43304">
        <w:t xml:space="preserve"> legislation </w:t>
      </w:r>
      <w:r w:rsidR="00E423DB">
        <w:t xml:space="preserve">is required to </w:t>
      </w:r>
      <w:r w:rsidR="00E423DB" w:rsidRPr="00A43304">
        <w:t>be</w:t>
      </w:r>
      <w:r w:rsidR="00E423DB">
        <w:t xml:space="preserve"> independently</w:t>
      </w:r>
      <w:r w:rsidR="00E423DB" w:rsidRPr="00A43304">
        <w:t xml:space="preserve"> reviewed </w:t>
      </w:r>
      <w:r w:rsidR="00E423DB">
        <w:t>no later than five years</w:t>
      </w:r>
      <w:r w:rsidR="00E423DB" w:rsidRPr="00A43304">
        <w:t xml:space="preserve"> </w:t>
      </w:r>
      <w:r w:rsidR="00E423DB">
        <w:t xml:space="preserve">after </w:t>
      </w:r>
      <w:r w:rsidR="00E423DB" w:rsidRPr="00E47A28">
        <w:rPr>
          <w:rFonts w:eastAsia="Calibri"/>
        </w:rPr>
        <w:t>commencement</w:t>
      </w:r>
      <w:r w:rsidR="00E423DB">
        <w:t xml:space="preserve"> </w:t>
      </w:r>
      <w:r w:rsidR="00E423DB" w:rsidRPr="00A43304">
        <w:t>to ensure</w:t>
      </w:r>
      <w:r w:rsidR="00E423DB">
        <w:t xml:space="preserve"> that</w:t>
      </w:r>
      <w:r w:rsidR="00E423DB" w:rsidRPr="00A43304">
        <w:t xml:space="preserve"> it</w:t>
      </w:r>
      <w:r w:rsidR="00E423DB">
        <w:t xml:space="preserve"> </w:t>
      </w:r>
      <w:r w:rsidR="00E423DB" w:rsidRPr="00A43304">
        <w:t>is addressing accessibility barriers as intended</w:t>
      </w:r>
      <w:r w:rsidR="00E423DB">
        <w:t>.</w:t>
      </w:r>
    </w:p>
    <w:p w14:paraId="6134948B" w14:textId="6A11D436" w:rsidR="00E423DB" w:rsidRDefault="00E423DB" w:rsidP="00CE30FE"/>
    <w:p w14:paraId="4907197F" w14:textId="77777777" w:rsidR="00CE30FE" w:rsidRDefault="00CE30FE" w:rsidP="00CE30FE"/>
    <w:p w14:paraId="15DEA979" w14:textId="1F3337A3" w:rsidR="00CE30FE" w:rsidRPr="00CE30FE" w:rsidRDefault="00CE30FE" w:rsidP="00CE30FE">
      <w:pPr>
        <w:rPr>
          <w:rStyle w:val="Emphasis"/>
        </w:rPr>
      </w:pPr>
      <w:r>
        <w:rPr>
          <w:b/>
        </w:rPr>
        <w:t xml:space="preserve">End of information: </w:t>
      </w:r>
      <w:r w:rsidRPr="00CE30FE">
        <w:rPr>
          <w:b/>
        </w:rPr>
        <w:t>Accessibility for New Zealanders Bill: Initial Briefing for the Social Services and Community Committee</w:t>
      </w:r>
    </w:p>
    <w:sectPr w:rsidR="00CE30FE" w:rsidRPr="00CE30FE" w:rsidSect="00CE30F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236D"/>
    <w:multiLevelType w:val="hybridMultilevel"/>
    <w:tmpl w:val="9EB4E3F6"/>
    <w:lvl w:ilvl="0" w:tplc="2B84BC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96C1B"/>
    <w:multiLevelType w:val="hybridMultilevel"/>
    <w:tmpl w:val="1AF44D98"/>
    <w:lvl w:ilvl="0" w:tplc="2B84BC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76FBD"/>
    <w:multiLevelType w:val="hybridMultilevel"/>
    <w:tmpl w:val="F7EE15BA"/>
    <w:lvl w:ilvl="0" w:tplc="AD4E26C6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5878"/>
    <w:multiLevelType w:val="hybridMultilevel"/>
    <w:tmpl w:val="8AC2D62C"/>
    <w:lvl w:ilvl="0" w:tplc="2B84BC3E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35069FF"/>
    <w:multiLevelType w:val="hybridMultilevel"/>
    <w:tmpl w:val="542211B8"/>
    <w:lvl w:ilvl="0" w:tplc="2B84B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365A"/>
    <w:multiLevelType w:val="hybridMultilevel"/>
    <w:tmpl w:val="30603E56"/>
    <w:lvl w:ilvl="0" w:tplc="2B84BC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D6407"/>
    <w:multiLevelType w:val="hybridMultilevel"/>
    <w:tmpl w:val="259ACAD2"/>
    <w:lvl w:ilvl="0" w:tplc="95962E30">
      <w:start w:val="1"/>
      <w:numFmt w:val="bullet"/>
      <w:pStyle w:val="ListParagraph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DB"/>
    <w:rsid w:val="0000483E"/>
    <w:rsid w:val="000369F9"/>
    <w:rsid w:val="000D68D8"/>
    <w:rsid w:val="001827BB"/>
    <w:rsid w:val="00742487"/>
    <w:rsid w:val="0096480F"/>
    <w:rsid w:val="00AE6521"/>
    <w:rsid w:val="00B86995"/>
    <w:rsid w:val="00C82AE8"/>
    <w:rsid w:val="00CB4E4A"/>
    <w:rsid w:val="00CE30FE"/>
    <w:rsid w:val="00DB414E"/>
    <w:rsid w:val="00E423DB"/>
    <w:rsid w:val="00F85373"/>
    <w:rsid w:val="00F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F895"/>
  <w15:chartTrackingRefBased/>
  <w15:docId w15:val="{08267D57-4044-4BB0-89C3-E73D0000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0FE"/>
    <w:pPr>
      <w:spacing w:after="280" w:line="276" w:lineRule="auto"/>
    </w:pPr>
    <w:rPr>
      <w:rFonts w:ascii="Arial" w:hAnsi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30FE"/>
    <w:pPr>
      <w:keepNext/>
      <w:keepLines/>
      <w:spacing w:after="400"/>
      <w:outlineLvl w:val="0"/>
    </w:pPr>
    <w:rPr>
      <w:rFonts w:ascii="Arial Bold" w:eastAsiaTheme="majorEastAsia" w:hAnsi="Arial Bold" w:cstheme="majorBidi"/>
      <w:b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30FE"/>
    <w:pPr>
      <w:keepNext/>
      <w:spacing w:before="600" w:after="0" w:line="240" w:lineRule="auto"/>
      <w:outlineLvl w:val="1"/>
    </w:pPr>
    <w:rPr>
      <w:rFonts w:ascii="Arial Bold" w:eastAsia="Times New Roman" w:hAnsi="Arial Bold" w:cs="Arial"/>
      <w:b/>
      <w:bCs/>
      <w:iCs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7BB"/>
    <w:pPr>
      <w:keepNext/>
      <w:keepLines/>
      <w:spacing w:before="600" w:after="200"/>
      <w:outlineLvl w:val="2"/>
    </w:pPr>
    <w:rPr>
      <w:rFonts w:ascii="Arial Bold" w:eastAsiaTheme="majorEastAsia" w:hAnsi="Arial Bold" w:cstheme="majorBidi"/>
      <w:b/>
      <w:sz w:val="4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FE"/>
    <w:rPr>
      <w:rFonts w:ascii="Arial Bold" w:eastAsiaTheme="majorEastAsia" w:hAnsi="Arial Bold" w:cstheme="majorBidi"/>
      <w:b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0FE"/>
    <w:rPr>
      <w:rFonts w:ascii="Arial Bold" w:eastAsia="Times New Roman" w:hAnsi="Arial Bold" w:cs="Arial"/>
      <w:b/>
      <w:bCs/>
      <w:iCs/>
      <w:sz w:val="48"/>
      <w:szCs w:val="28"/>
    </w:rPr>
  </w:style>
  <w:style w:type="paragraph" w:styleId="ListParagraph">
    <w:name w:val="List Paragraph"/>
    <w:basedOn w:val="Normal"/>
    <w:uiPriority w:val="34"/>
    <w:qFormat/>
    <w:rsid w:val="00CE30FE"/>
    <w:pPr>
      <w:numPr>
        <w:numId w:val="7"/>
      </w:numPr>
      <w:spacing w:after="60"/>
      <w:ind w:left="357" w:hanging="357"/>
    </w:pPr>
  </w:style>
  <w:style w:type="character" w:styleId="Hyperlink">
    <w:name w:val="Hyperlink"/>
    <w:basedOn w:val="DefaultParagraphFont"/>
    <w:uiPriority w:val="99"/>
    <w:unhideWhenUsed/>
    <w:rsid w:val="00E423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23D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827BB"/>
    <w:rPr>
      <w:rFonts w:ascii="Arial Bold" w:eastAsiaTheme="majorEastAsia" w:hAnsi="Arial Bold" w:cstheme="majorBidi"/>
      <w:b/>
      <w:sz w:val="42"/>
      <w:szCs w:val="24"/>
    </w:rPr>
  </w:style>
  <w:style w:type="character" w:styleId="Emphasis">
    <w:name w:val="Emphasis"/>
    <w:uiPriority w:val="20"/>
    <w:qFormat/>
    <w:rsid w:val="00CE30F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tinyurl.com/2zn5422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inyurl.com/4mnykv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4" ma:contentTypeDescription="Create a new document." ma:contentTypeScope="" ma:versionID="1382d2a560fad5d2c7d05ced395e4c0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6eabe03d0efb76e1bca11a9c70a5975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01A0-6BDC-4C20-9787-0B02EEA3240F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customXml/itemProps2.xml><?xml version="1.0" encoding="utf-8"?>
<ds:datastoreItem xmlns:ds="http://schemas.openxmlformats.org/officeDocument/2006/customXml" ds:itemID="{D3E91426-ACA6-4B5E-9942-491D587F7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CD4AF-A6C9-486A-84AC-4F45351F4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Bardsley-Scott</dc:creator>
  <cp:keywords/>
  <dc:description/>
  <cp:lastModifiedBy>Femke Jager</cp:lastModifiedBy>
  <cp:revision>2</cp:revision>
  <dcterms:created xsi:type="dcterms:W3CDTF">2023-07-21T00:03:00Z</dcterms:created>
  <dcterms:modified xsi:type="dcterms:W3CDTF">2023-07-21T00:03:00Z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